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3-7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wycofania gaśnicy z użytkowania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wycofania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uprawnień / autoryzacji producenta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DANE WYCOFYWANEJ GAŚNICY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ewidencyjny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Typ / rodzaj środka gaśniczego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Numer fabryczny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Rok produkcji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Lokalizacja przed wycofaniem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POWÓD WYCOFANIA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Przekroczony okres użytkowania określony przez producenta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Uszkodzenie mechaniczne uniemożliwiające bezpieczne użycie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Korozja zbiornika lub elementów ciśnieniowych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Negatywny wynik próby ciśnieniowej / brak ważnej legalizacji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Brak możliwości lub nieopłacalność remontu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Inny powód: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 ……………………………………………………………………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SPOSÓB ZAGOSPODAROWANIA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Przekazanie do złomowania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Przekazanie do utylizacji środka gaśniczego</w:t>
      </w:r>
    </w:p>
    <w:p>
      <w:pPr>
        <w:spacing w:after="80"/>
      </w:pPr>
      <w:r>
        <w:rPr>
          <w:rFonts w:ascii="Arial" w:cs="Arial" w:eastAsia="Arial" w:hAnsi="Arial"/>
          <w:color w:val="5B9B7E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Zwrot do producenta / autoryzowanego serwisu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techniczny i czynności konserwacyjne wykonano zgodnie z normą PN-EN 3-7 oraz § 3 rozporządzenia Ministra Spraw Wewnętrznych i Administracji z dnia 7 czerwca 2010 r. w sprawie ochrony przeciwpożarowej budynków, innych obiektów budowlanych i terenów (Dz.U. 2010 nr 109 poz. 719). Gaśnice podlegają przeglądowi nie rzadziej niż raz w roku.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wycofania gaśnicy z użytkowania</dc:title>
  <dc:creator>Gaśnica-Control</dc:creator>
  <dc:description>Wzór protokołu wycofania zgodny z PN-EN 3-7</dc:description>
  <cp:lastModifiedBy>Un-named</cp:lastModifiedBy>
  <cp:revision>1</cp:revision>
  <dcterms:created xsi:type="dcterms:W3CDTF">2026-07-18T14:11:08.874Z</dcterms:created>
  <dcterms:modified xsi:type="dcterms:W3CDTF">2026-07-18T14:11:08.874Z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