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1838:2005 / PN-EN 50172:2005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i pomiarów oświetlenia awaryjnego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 (test roczny pełnego czasu działania)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Wykonujący pomiary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uprawnień (świadectwo kwalifikacyjne SEP G1 E/D)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Luksomierz — typ i nr świadectwa wzorcowania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WYKAZ OPRAW OBJĘTYCH PRZEGLĄDEM I POMIARAMI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17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Nr / lokalizacja oprawy</w:t>
            </w:r>
          </w:p>
        </w:tc>
        <w:tc>
          <w:tcPr>
            <w:tcW w:type="pct" w:w="12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Typ (ewakuacyjna / kierunkowa)</w:t>
            </w:r>
          </w:p>
        </w:tc>
        <w:tc>
          <w:tcPr>
            <w:tcW w:type="pct" w:w="9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Tryb pracy</w:t>
            </w:r>
          </w:p>
        </w:tc>
        <w:tc>
          <w:tcPr>
            <w:tcW w:type="pct" w:w="9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Czas znamionowy [min]</w:t>
            </w:r>
          </w:p>
        </w:tc>
        <w:tc>
          <w:tcPr>
            <w:tcW w:type="pct" w:w="11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Zmierzony czas działania [min]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Natężenie oświetlenia [lx]</w:t>
            </w:r>
          </w:p>
        </w:tc>
        <w:tc>
          <w:tcPr>
            <w:tcW w:type="pct" w:w="9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Stan baterii</w:t>
            </w:r>
          </w:p>
        </w:tc>
        <w:tc>
          <w:tcPr>
            <w:tcW w:type="pct" w:w="7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Wynik</w:t>
            </w:r>
          </w:p>
        </w:tc>
        <w:tc>
          <w:tcPr>
            <w:tcW w:type="pct" w:w="12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Uwagi</w:t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6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8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10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b/>
          <w:bCs/>
          <w:color w:val="29261B"/>
          <w:sz w:val="15"/>
          <w:szCs w:val="15"/>
        </w:rPr>
        <w:t xml:space="preserve">Legenda:  </w:t>
      </w:r>
      <w:r>
        <w:rPr>
          <w:rFonts w:ascii="Arial" w:cs="Arial" w:eastAsia="Arial" w:hAnsi="Arial"/>
          <w:color w:val="3D3A30"/>
          <w:sz w:val="15"/>
          <w:szCs w:val="15"/>
        </w:rPr>
        <w:t xml:space="preserve">Wymagane minimum natężenia (PN-EN 1838): droga ewakuacyjna ≥ 1 lx w osi drogi · strefa otwarta ≥ 0,5 lx · strefa wysokiego ryzyka ≥ 15 lx. Test roczny: pełny znamionowy czas działania (60 / 120 / 180 min).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Oprawa załącza się po symulowanym zaniku zasilania podstawowego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Piktogram / znak ewakuacyjny czytelny, a w wersji podświetlanej — podświetlony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Prawidłowe i pewne mocowanie oprawy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Stan źródła światła i baterii — brak wybrzuszeń, wycieków i korozji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Układ autotestu działa prawidłowo (jeżeli zainstalowany)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Czytelne oznakowanie / etykieta oprawy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Czystość klosza i dyfuzora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Rozmieszczenie opraw zgodne z projektem oświetlenia awaryjnego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i pomiary wykonano zgodnie z § 3 rozporządzenia Ministra Spraw Wewnętrznych i Administracji z dnia 7 czerwca 2010 r. w sprawie ochrony przeciwpożarowej budynków, innych obiektów budowlanych i terenów (Dz.U. 2010 nr 109 poz. 719) — instalacje oświetlenia ewakuacyjnego są urządzeniami przeciwpożarowymi (§ 2 ust. 1 pkt 9) i podlegają przeglądom nie rzadziej niż raz w roku (coroczny test pełnego czasu działania). Wymagania oświetleniowe: PN-EN 1838:2005; zasady eksploatacji i testów: PN-EN 50172:2005 (test comiesięczny — krótki test funkcjonalny wykonuje osoba odpowiedzialna za obiekt).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i pomiarów oświetlenia awaryjnego</dc:title>
  <dc:creator>Gaśnica-Control</dc:creator>
  <dc:description>Ochrona przeciwpożarowa · PN-EN 1838:2005 / PN-EN 50172:2005</dc:description>
  <cp:lastModifiedBy>Un-named</cp:lastModifiedBy>
  <cp:revision>1</cp:revision>
  <dcterms:created xsi:type="dcterms:W3CDTF">2026-07-18T14:11:09.060Z</dcterms:created>
  <dcterms:modified xsi:type="dcterms:W3CDTF">2026-07-18T14:11:09.060Z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