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5B9B7E"/>
          <w:spacing w:val="30"/>
          <w:sz w:val="17"/>
          <w:szCs w:val="17"/>
        </w:rPr>
        <w:t xml:space="preserve">OCHRONA PRZECIWPOŻAROWA · PN-EN 16034 / PN-EN 1634-1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29261B"/>
          <w:sz w:val="32"/>
          <w:szCs w:val="32"/>
        </w:rPr>
        <w:t xml:space="preserve">Protokół z przeglądu drzwi i bram przeciwpożarowych</w:t>
      </w:r>
    </w:p>
    <w:p>
      <w:pPr>
        <w:spacing w:after="20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Protokół nr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</w:t>
      </w:r>
      <w:r>
        <w:rPr>
          <w:rFonts w:ascii="Arial" w:cs="Arial" w:eastAsia="Arial" w:hAnsi="Arial"/>
          <w:color w:val="6B6354"/>
          <w:sz w:val="18"/>
          <w:szCs w:val="18"/>
        </w:rPr>
        <w:t xml:space="preserve">          Data: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…………………………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Obiekt / adres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Właściciel / zarządca obiektu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Data przeglądu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Konserwator (imię i nazwisko)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Nr uprawnień / autoryzacji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WYKAZ DRZWI I BRAM OBJĘTYCH PRZEGLĄDEM</w:t>
      </w:r>
    </w:p>
    <w:tbl>
      <w:tblPr>
        <w:tblW w:type="pct" w:w="100%"/>
        <w:tblBorders>
          <w:top w:val="single" w:color="E7E2D8" w:sz="4"/>
          <w:left w:val="single" w:color="E7E2D8" w:sz="4"/>
          <w:bottom w:val="single" w:color="E7E2D8" w:sz="4"/>
          <w:right w:val="single" w:color="E7E2D8" w:sz="4"/>
          <w:insideH w:val="single" w:color="E7E2D8" w:sz="2"/>
          <w:insideV w:val="single" w:color="E7E2D8" w:sz="2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Lp.</w:t>
            </w:r>
          </w:p>
        </w:tc>
        <w:tc>
          <w:tcPr>
            <w:tcW w:type="pct" w:w="16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Oznaczenie / lokalizacja</w:t>
            </w:r>
          </w:p>
        </w:tc>
        <w:tc>
          <w:tcPr>
            <w:tcW w:type="pct" w:w="11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Producent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Nr fabryczny</w:t>
            </w:r>
          </w:p>
        </w:tc>
        <w:tc>
          <w:tcPr>
            <w:tcW w:type="pct" w:w="11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Klasa odporności (EI/EW)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Dymoszczelność (Sa/S200)</w:t>
            </w:r>
          </w:p>
        </w:tc>
        <w:tc>
          <w:tcPr>
            <w:tcW w:type="pct" w:w="8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Samozamykacz</w:t>
            </w:r>
          </w:p>
        </w:tc>
        <w:tc>
          <w:tcPr>
            <w:tcW w:type="pct" w:w="8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Trzymacz / SSP</w:t>
            </w:r>
          </w:p>
        </w:tc>
        <w:tc>
          <w:tcPr>
            <w:tcW w:type="pct" w:w="7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Wynik</w:t>
            </w:r>
          </w:p>
        </w:tc>
        <w:tc>
          <w:tcPr>
            <w:tcW w:type="pct" w:w="15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Następny przegląd</w:t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1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2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4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5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6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7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8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9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10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</w:tbl>
    <w:p>
      <w:pPr>
        <w:spacing w:after="60" w:before="120"/>
      </w:pPr>
      <w:r>
        <w:rPr>
          <w:rFonts w:ascii="Arial" w:cs="Arial" w:eastAsia="Arial" w:hAnsi="Arial"/>
          <w:b/>
          <w:bCs/>
          <w:color w:val="29261B"/>
          <w:sz w:val="15"/>
          <w:szCs w:val="15"/>
        </w:rPr>
        <w:t xml:space="preserve">Legenda:  </w:t>
      </w:r>
      <w:r>
        <w:rPr>
          <w:rFonts w:ascii="Arial" w:cs="Arial" w:eastAsia="Arial" w:hAnsi="Arial"/>
          <w:color w:val="3D3A30"/>
          <w:sz w:val="15"/>
          <w:szCs w:val="15"/>
        </w:rPr>
        <w:t xml:space="preserve">S – sprawne   ·   N – do naprawy   ·   W – do wymiany elementu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ZAKRES CZYNNOŚCI KONTROLNYCH</w:t>
      </w:r>
    </w:p>
    <w:tbl>
      <w:tblPr>
        <w:tblW w:type="pct" w:w="100%"/>
        <w:tblBorders>
          <w:top w:val="single" w:color="E7E2D8" w:sz="4"/>
          <w:left w:val="single" w:color="E7E2D8" w:sz="4"/>
          <w:bottom w:val="single" w:color="E7E2D8" w:sz="4"/>
          <w:right w:val="single" w:color="E7E2D8" w:sz="4"/>
          <w:insideH w:val="single" w:color="E7E2D8" w:sz="2"/>
          <w:insideV w:val="single" w:color="E7E2D8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Lp.</w:t>
            </w:r>
          </w:p>
        </w:tc>
        <w:tc>
          <w:tcPr>
            <w:tcW w:type="pct" w:w="65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Czynność kontrolna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Sprawne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Niesprawne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Nie dotyczy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1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Oględziny skrzydła i ościeżnicy — brak odkształceń, uszkodzeń i niedozwolonych przeróbek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2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Szczeliny i luzy na obwodzie skrzydła w granicach dokumentacji producenta (DTR)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3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Zawiasy i okucia — mocowanie, brak luzów, smarowanie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4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Zamek, rygle, zatrzask i klamka — prawidłowe działanie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5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Uszczelka pęczniejąca (ogniochronna) — kompletność i ciągłość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6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Uszczelki dymoszczelne i szczelność przylegania (dotyczy klasy Sa / S200)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7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Samozamykacz — pełne domknięcie z dowolnego położenia, siła zamykania min. EN 3 (PN-EN 1154)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8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Koordynator kolejności zamykania (dotyczy drzwi dwuskrzydłowych)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9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Trzymacz elektromagnetyczny — zwolnienie po sygnale z SSP (jeżeli zainstalowany)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10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Przeszklenie ognioodporne i uszczelki przyszybowe — brak pęknięć, mocowanie listew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11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Oznakowanie — tabliczka znamionowa, klasa odporności, deklaracja właściwości użytkowych (DWU)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12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Brak blokad i klinów utrzymujących drzwi w pozycji otwartej bez trzymacza sprzężonego z SSP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UWAGI I ZALECENIA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single" w:color="E7E2D8" w:sz="4"/>
          <w:bottom w:val="single" w:color="E7E2D8" w:sz="4"/>
          <w:left w:val="single" w:color="5B9B7E" w:sz="18" w:space="6"/>
          <w:right w:val="single" w:color="E7E2D8" w:sz="4"/>
        </w:pBdr>
        <w:shd w:fill="EBF3EE" w:color="auto" w:val="clear"/>
        <w:spacing w:after="60" w:before="200"/>
      </w:pPr>
      <w:r>
        <w:rPr>
          <w:rFonts w:ascii="Arial" w:cs="Arial" w:eastAsia="Arial" w:hAnsi="Arial"/>
          <w:i/>
          <w:iCs/>
          <w:color w:val="3D3A30"/>
          <w:sz w:val="14"/>
          <w:szCs w:val="14"/>
        </w:rPr>
        <w:t xml:space="preserve">Przegląd techniczny wykonano zgodnie z § 3 rozporządzenia Ministra Spraw Wewnętrznych i Administracji z dnia 7 czerwca 2010 r. w sprawie ochrony przeciwpożarowej budynków, innych obiektów budowlanych i terenów (Dz.U. 2010 nr 109 poz. 719). Drzwi i bramy przeciwpożarowe wyposażone w systemy sterowania są urządzeniami przeciwpożarowymi (§ 2 ust. 1 pkt 9) i podlegają przeglądom nie rzadziej niż raz w roku. Wymagania wyrobu: PN-EN 16034; badania odporności ogniowej: PN-EN 1634-1; zamykacze drzwiowe: PN-EN 1154.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konserwatora / uprawnienia</w:t>
            </w:r>
          </w:p>
        </w:tc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właściciela lub przedstawiciela obiektu</w:t>
            </w:r>
          </w:p>
        </w:tc>
      </w:tr>
    </w:tbl>
    <w:sectPr>
      <w:headerReference w:type="default" r:id="rId7"/>
      <w:footerReference w:type="default" r:id="rId8"/>
      <w:pgSz w:w="16838" w:h="11906" w:orient="landscape"/>
      <w:pgMar w:top="907" w:right="793" w:bottom="793" w:left="79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2D8" w:sz="4"/>
      </w:pBdr>
      <w:spacing w:before="80"/>
    </w:pPr>
    <w:r>
      <w:rPr>
        <w:rFonts w:ascii="Arial" w:cs="Arial" w:eastAsia="Arial" w:hAnsi="Arial"/>
        <w:b/>
        <w:bCs/>
        <w:color w:val="5B9B7E"/>
        <w:sz w:val="14"/>
        <w:szCs w:val="14"/>
      </w:rPr>
      <w:t xml:space="preserve">gasnica-control.pl   ·   </w:t>
    </w:r>
    <w:r>
      <w:rPr>
        <w:rFonts w:ascii="Arial" w:cs="Arial" w:eastAsia="Arial" w:hAnsi="Arial"/>
        <w:color w:val="6B6354"/>
        <w:sz w:val="13"/>
        <w:szCs w:val="13"/>
      </w:rPr>
      <w:t xml:space="preserve">Wzór ma charakter informacyjny. Przed użyciem dostosuj go do specyfiki obiektu i obowiązujących przepisów. Gaśnica-Control nie ponosi odpowiedzialności za stosowanie wzoru.</w:t>
    </w:r>
  </w:p>
  <w:p>
    <w:pPr>
      <w:jc w:val="right"/>
    </w:pPr>
    <w:r>
      <w:rPr>
        <w:rFonts w:ascii="Arial" w:cs="Arial" w:eastAsia="Arial" w:hAnsi="Arial"/>
        <w:color w:val="6B6354"/>
        <w:sz w:val="13"/>
        <w:szCs w:val="13"/>
      </w:rPr>
      <w:t xml:space="preserve">Strona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6354"/>
        <w:sz w:val="13"/>
        <w:szCs w:val="13"/>
      </w:rPr>
      <w:t xml:space="preserve"> /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</w:pPr>
    <w:r>
      <w:rPr>
        <w:rFonts w:ascii="Arial" w:cs="Arial" w:eastAsia="Arial" w:hAnsi="Arial"/>
        <w:b/>
        <w:bCs/>
        <w:color w:val="5B9B7E"/>
        <w:spacing w:val="20"/>
        <w:sz w:val="22"/>
        <w:szCs w:val="22"/>
      </w:rPr>
      <w:t xml:space="preserve">GAŚNICA-CONTROL</w:t>
    </w:r>
    <w:r>
      <w:rPr>
        <w:rFonts w:ascii="Arial" w:cs="Arial" w:eastAsia="Arial" w:hAnsi="Arial"/>
        <w:color w:val="6B6354"/>
        <w:sz w:val="16"/>
        <w:szCs w:val="16"/>
      </w:rPr>
      <w:t xml:space="preserve">   ·   Dokumentacja PPOŻ</w:t>
    </w:r>
  </w:p>
  <w:p>
    <w:pPr>
      <w:pBdr>
        <w:bottom w:val="single" w:color="5B9B7E" w:sz="12" w:space="1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D3A30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przeglądu drzwi i bram przeciwpożarowych</dc:title>
  <dc:creator>Gaśnica-Control</dc:creator>
  <dc:description>Ochrona przeciwpożarowa · PN-EN 16034 / PN-EN 1634-1</dc:description>
  <cp:lastModifiedBy>Un-named</cp:lastModifiedBy>
  <cp:revision>1</cp:revision>
  <dcterms:created xsi:type="dcterms:W3CDTF">2026-07-18T14:11:09.027Z</dcterms:created>
  <dcterms:modified xsi:type="dcterms:W3CDTF">2026-07-18T14:11:09.027Z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