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5B9B7E"/>
          <w:spacing w:val="30"/>
          <w:sz w:val="17"/>
          <w:szCs w:val="17"/>
        </w:rPr>
        <w:t xml:space="preserve">OCHRONA PRZECIWPOŻAROWA · DOKUMENT DLA WŁAŚCICIELA OBIEKTU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29261B"/>
          <w:sz w:val="32"/>
          <w:szCs w:val="32"/>
        </w:rPr>
        <w:t xml:space="preserve">Oświadczenie o sprawności urządzeń przeciwpożarowych</w:t>
      </w:r>
    </w:p>
    <w:p>
      <w:pPr>
        <w:spacing w:after="20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Oświadczenie nr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</w:t>
      </w:r>
      <w:r>
        <w:rPr>
          <w:rFonts w:ascii="Arial" w:cs="Arial" w:eastAsia="Arial" w:hAnsi="Arial"/>
          <w:color w:val="6B6354"/>
          <w:sz w:val="18"/>
          <w:szCs w:val="18"/>
        </w:rPr>
        <w:t xml:space="preserve">          Data: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…………………………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Obiekt / adres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Właściciel / zarządca obiektu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Data wykonania przeglądu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Wykonawca (firma serwisowa)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Konserwator (imię i nazwisko, nr uprawnień / autoryzacji)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URZĄDZENIA OBJĘTE PRZEGLĄDEM</w:t>
      </w:r>
    </w:p>
    <w:tbl>
      <w:tblPr>
        <w:tblW w:type="pct" w:w="100%"/>
        <w:tblBorders>
          <w:top w:val="single" w:color="E7E2D8" w:sz="4"/>
          <w:left w:val="single" w:color="E7E2D8" w:sz="4"/>
          <w:bottom w:val="single" w:color="E7E2D8" w:sz="4"/>
          <w:right w:val="single" w:color="E7E2D8" w:sz="4"/>
          <w:insideH w:val="single" w:color="E7E2D8" w:sz="2"/>
          <w:insideV w:val="single" w:color="E7E2D8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6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Lp.</w:t>
            </w:r>
          </w:p>
        </w:tc>
        <w:tc>
          <w:tcPr>
            <w:tcW w:type="pct" w:w="34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Rodzaj urządzenia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Liczba</w:t>
            </w:r>
          </w:p>
        </w:tc>
        <w:tc>
          <w:tcPr>
            <w:tcW w:type="pct" w:w="2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Wynik przeglądu</w:t>
            </w:r>
          </w:p>
        </w:tc>
        <w:tc>
          <w:tcPr>
            <w:tcW w:type="pct" w:w="3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Termin następnego przeglądu</w:t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1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Gaśnice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2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Hydranty wewnętrzne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Oświetlenie awaryjne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4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Przeciwpożarowy wyłącznik prądu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5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Drzwi / bramy przeciwpożarowe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6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7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8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OŚWIADCZENIE WYKONAWCY</w:t>
      </w:r>
    </w:p>
    <w:p>
      <w:pPr>
        <w:shd w:fill="EBF3EE" w:color="auto" w:val="clear"/>
        <w:spacing w:after="120" w:before="200"/>
      </w:pPr>
      <w:r>
        <w:rPr>
          <w:rFonts w:ascii="Arial" w:cs="Arial" w:eastAsia="Arial" w:hAnsi="Arial"/>
          <w:color w:val="29261B"/>
          <w:sz w:val="19"/>
          <w:szCs w:val="19"/>
        </w:rPr>
        <w:t xml:space="preserve">Oświadczam, że wymienione wyżej urządzenia przeciwpożarowe i gaśnice zostały poddane przeglądowi technicznemu i czynnościom konserwacyjnym zgodnie z Polskimi Normami, dokumentacją techniczno-ruchową i instrukcjami obsługi producentów. Przeprowadzone próby i badania potwierdziły poprawność ich działania. Urządzenia znajdują się w stanie pełnej sprawności technicznej i funkcjonalnej oraz nadają się do dalszej eksploatacji, z zastrzeżeniem uwag wskazanych poniżej.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UWAGI I ZALECENIA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single" w:color="E7E2D8" w:sz="4"/>
          <w:bottom w:val="single" w:color="E7E2D8" w:sz="4"/>
          <w:left w:val="single" w:color="5B9B7E" w:sz="18" w:space="6"/>
          <w:right w:val="single" w:color="E7E2D8" w:sz="4"/>
        </w:pBdr>
        <w:shd w:fill="EBF3EE" w:color="auto" w:val="clear"/>
        <w:spacing w:after="60" w:before="200"/>
      </w:pPr>
      <w:r>
        <w:rPr>
          <w:rFonts w:ascii="Arial" w:cs="Arial" w:eastAsia="Arial" w:hAnsi="Arial"/>
          <w:i/>
          <w:iCs/>
          <w:color w:val="3D3A30"/>
          <w:sz w:val="14"/>
          <w:szCs w:val="14"/>
        </w:rPr>
        <w:t xml:space="preserve">Właściciel budynku, obiektu budowlanego lub terenu jest obowiązany utrzymywać urządzenia przeciwpożarowe i gaśnice w stanie pełnej sprawności technicznej i funkcjonalnej (art. 4 ust. 1 pkt 2–3 ustawy z dnia 24 sierpnia 1991 r. o ochronie przeciwpożarowej). Przeglądy techniczne i czynności konserwacyjne przeprowadza się w okresach ustalonych przez producenta, nie rzadziej niż raz w roku (§ 3 rozporządzenia MSWiA z dnia 7 czerwca 2010 r., Dz.U. 2010 nr 109 poz. 719).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i pieczęć konserwatora</w:t>
            </w:r>
          </w:p>
        </w:tc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właściciela lub przedstawiciela obiektu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20" w:right="1020" w:bottom="907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2D8" w:sz="4"/>
      </w:pBdr>
      <w:spacing w:before="80"/>
    </w:pPr>
    <w:r>
      <w:rPr>
        <w:rFonts w:ascii="Arial" w:cs="Arial" w:eastAsia="Arial" w:hAnsi="Arial"/>
        <w:b/>
        <w:bCs/>
        <w:color w:val="5B9B7E"/>
        <w:sz w:val="14"/>
        <w:szCs w:val="14"/>
      </w:rPr>
      <w:t xml:space="preserve">gasnica-control.pl   ·   </w:t>
    </w:r>
    <w:r>
      <w:rPr>
        <w:rFonts w:ascii="Arial" w:cs="Arial" w:eastAsia="Arial" w:hAnsi="Arial"/>
        <w:color w:val="6B6354"/>
        <w:sz w:val="13"/>
        <w:szCs w:val="13"/>
      </w:rPr>
      <w:t xml:space="preserve">Wzór ma charakter informacyjny. Przed użyciem dostosuj go do specyfiki obiektu i obowiązujących przepisów. Gaśnica-Control nie ponosi odpowiedzialności za stosowanie wzoru.</w:t>
    </w:r>
  </w:p>
  <w:p>
    <w:pPr>
      <w:jc w:val="right"/>
    </w:pPr>
    <w:r>
      <w:rPr>
        <w:rFonts w:ascii="Arial" w:cs="Arial" w:eastAsia="Arial" w:hAnsi="Arial"/>
        <w:color w:val="6B6354"/>
        <w:sz w:val="13"/>
        <w:szCs w:val="13"/>
      </w:rPr>
      <w:t xml:space="preserve">Strona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6354"/>
        <w:sz w:val="13"/>
        <w:szCs w:val="13"/>
      </w:rPr>
      <w:t xml:space="preserve"> /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</w:pPr>
    <w:r>
      <w:rPr>
        <w:rFonts w:ascii="Arial" w:cs="Arial" w:eastAsia="Arial" w:hAnsi="Arial"/>
        <w:b/>
        <w:bCs/>
        <w:color w:val="5B9B7E"/>
        <w:spacing w:val="20"/>
        <w:sz w:val="22"/>
        <w:szCs w:val="22"/>
      </w:rPr>
      <w:t xml:space="preserve">GAŚNICA-CONTROL</w:t>
    </w:r>
    <w:r>
      <w:rPr>
        <w:rFonts w:ascii="Arial" w:cs="Arial" w:eastAsia="Arial" w:hAnsi="Arial"/>
        <w:color w:val="6B6354"/>
        <w:sz w:val="16"/>
        <w:szCs w:val="16"/>
      </w:rPr>
      <w:t xml:space="preserve">   ·   Dokumentacja PPOŻ</w:t>
    </w:r>
  </w:p>
  <w:p>
    <w:pPr>
      <w:pBdr>
        <w:bottom w:val="single" w:color="5B9B7E" w:sz="12" w:space="1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D3A30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sprawności urządzeń przeciwpożarowych</dc:title>
  <dc:creator>Gaśnica-Control</dc:creator>
  <dc:description>Potwierdzenie sprawności urządzeń PPOŻ po przeglądzie</dc:description>
  <cp:lastModifiedBy>Un-named</cp:lastModifiedBy>
  <cp:revision>1</cp:revision>
  <dcterms:created xsi:type="dcterms:W3CDTF">2026-07-18T14:11:08.905Z</dcterms:created>
  <dcterms:modified xsi:type="dcterms:W3CDTF">2026-07-18T14:11:08.905Z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